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2" w:sz="0" w:val="none"/>
          <w:left w:color="auto" w:space="0" w:sz="0" w:val="none"/>
          <w:bottom w:color="auto" w:space="2" w:sz="0" w:val="none"/>
          <w:right w:color="auto" w:space="0" w:sz="0" w:val="none"/>
          <w:between w:color="auto" w:space="2" w:sz="0" w:val="none"/>
        </w:pBdr>
        <w:rPr>
          <w:b w:val="1"/>
          <w:color w:val="000422"/>
          <w:sz w:val="24"/>
          <w:szCs w:val="24"/>
        </w:rPr>
      </w:pPr>
      <w:r w:rsidDel="00000000" w:rsidR="00000000" w:rsidRPr="00000000">
        <w:rPr>
          <w:b w:val="1"/>
          <w:color w:val="000422"/>
          <w:sz w:val="24"/>
          <w:szCs w:val="24"/>
          <w:rtl w:val="0"/>
        </w:rPr>
        <w:t xml:space="preserve">Процедура согласования вывески.</w:t>
      </w:r>
    </w:p>
    <w:p w:rsidR="00000000" w:rsidDel="00000000" w:rsidP="00000000" w:rsidRDefault="00000000" w:rsidRPr="00000000" w14:paraId="00000002">
      <w:pPr>
        <w:pBdr>
          <w:top w:color="auto" w:space="2" w:sz="0" w:val="none"/>
          <w:left w:color="auto" w:space="0" w:sz="0" w:val="none"/>
          <w:bottom w:color="auto" w:space="2" w:sz="0" w:val="none"/>
          <w:right w:color="auto" w:space="0" w:sz="0" w:val="none"/>
          <w:between w:color="auto" w:space="2" w:sz="0" w:val="none"/>
        </w:pBdr>
        <w:rPr>
          <w:color w:val="000422"/>
          <w:sz w:val="24"/>
          <w:szCs w:val="24"/>
          <w:u w:val="single"/>
        </w:rPr>
      </w:pPr>
      <w:r w:rsidDel="00000000" w:rsidR="00000000" w:rsidRPr="00000000">
        <w:rPr>
          <w:color w:val="000422"/>
          <w:sz w:val="24"/>
          <w:szCs w:val="24"/>
          <w:u w:val="single"/>
          <w:rtl w:val="0"/>
        </w:rPr>
        <w:t xml:space="preserve">Список документов:</w:t>
      </w:r>
    </w:p>
    <w:p w:rsidR="00000000" w:rsidDel="00000000" w:rsidP="00000000" w:rsidRDefault="00000000" w:rsidRPr="00000000" w14:paraId="00000003">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свидетельства о регистрации предпринимателя/ООО и копия документа, подтверждающего личность заявителя,</w:t>
      </w:r>
    </w:p>
    <w:p w:rsidR="00000000" w:rsidDel="00000000" w:rsidP="00000000" w:rsidRDefault="00000000" w:rsidRPr="00000000" w14:paraId="00000004">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Дизайн-макет и проектная документация рекламной конструкции (</w:t>
      </w:r>
      <w:r w:rsidDel="00000000" w:rsidR="00000000" w:rsidRPr="00000000">
        <w:rPr>
          <w:b w:val="1"/>
          <w:color w:val="000422"/>
          <w:sz w:val="24"/>
          <w:szCs w:val="24"/>
          <w:highlight w:val="white"/>
          <w:rtl w:val="0"/>
        </w:rPr>
        <w:t xml:space="preserve">обратите внимание:</w:t>
      </w:r>
      <w:r w:rsidDel="00000000" w:rsidR="00000000" w:rsidRPr="00000000">
        <w:rPr>
          <w:color w:val="000422"/>
          <w:sz w:val="24"/>
          <w:szCs w:val="24"/>
          <w:highlight w:val="white"/>
          <w:rtl w:val="0"/>
        </w:rPr>
        <w:t xml:space="preserve"> это не картинка, которую делает дизайнер, а пакет документов по госстандарту, выполненный проектной мастерской, имеющей разрешение на такой вид работ, стоимость проекта зависит от вида вывески и места установки),</w:t>
      </w:r>
    </w:p>
    <w:p w:rsidR="00000000" w:rsidDel="00000000" w:rsidP="00000000" w:rsidRDefault="00000000" w:rsidRPr="00000000" w14:paraId="00000005">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документов, подтверждающих право собственности на объект, где будет установлена вывеска либо копия свидетельства о праве владения помещения/земли от собственника,</w:t>
      </w:r>
    </w:p>
    <w:p w:rsidR="00000000" w:rsidDel="00000000" w:rsidP="00000000" w:rsidRDefault="00000000" w:rsidRPr="00000000" w14:paraId="00000006">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Договор об аренде с собственником недвижимости, где будет установлена вывеска и его письменное согласие на установку,</w:t>
      </w:r>
    </w:p>
    <w:p w:rsidR="00000000" w:rsidDel="00000000" w:rsidP="00000000" w:rsidRDefault="00000000" w:rsidRPr="00000000" w14:paraId="00000007">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Заявление на имя руководителя администрации.</w:t>
      </w:r>
    </w:p>
    <w:p w:rsidR="00000000" w:rsidDel="00000000" w:rsidP="00000000" w:rsidRDefault="00000000" w:rsidRPr="00000000" w14:paraId="00000008">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242424"/>
          <w:sz w:val="24"/>
          <w:szCs w:val="24"/>
          <w:rtl w:val="0"/>
        </w:rPr>
        <w:t xml:space="preserve">К пакету документов необходимо приложить квитанцию об уплате госпошлины, 5 000 рублей для Казани.</w:t>
      </w:r>
      <w:r w:rsidDel="00000000" w:rsidR="00000000" w:rsidRPr="00000000">
        <w:rPr>
          <w:rtl w:val="0"/>
        </w:rPr>
      </w:r>
    </w:p>
    <w:p w:rsidR="00000000" w:rsidDel="00000000" w:rsidP="00000000" w:rsidRDefault="00000000" w:rsidRPr="00000000" w14:paraId="00000009">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color w:val="242424"/>
          <w:sz w:val="24"/>
          <w:szCs w:val="24"/>
          <w:rtl w:val="0"/>
        </w:rPr>
        <w:t xml:space="preserve">Принять заявку могут в </w:t>
      </w:r>
      <w:r w:rsidDel="00000000" w:rsidR="00000000" w:rsidRPr="00000000">
        <w:rPr>
          <w:color w:val="242424"/>
          <w:sz w:val="24"/>
          <w:szCs w:val="24"/>
          <w:highlight w:val="white"/>
          <w:rtl w:val="0"/>
        </w:rPr>
        <w:t xml:space="preserve">Управления архитектуры и градостроительства Исполнительного комитета г. Казани</w:t>
      </w:r>
      <w:r w:rsidDel="00000000" w:rsidR="00000000" w:rsidRPr="00000000">
        <w:rPr>
          <w:color w:val="242424"/>
          <w:sz w:val="24"/>
          <w:szCs w:val="24"/>
          <w:rtl w:val="0"/>
        </w:rPr>
        <w:t xml:space="preserve">,</w:t>
      </w:r>
      <w:r w:rsidDel="00000000" w:rsidR="00000000" w:rsidRPr="00000000">
        <w:rPr>
          <w:color w:val="242424"/>
          <w:sz w:val="24"/>
          <w:szCs w:val="24"/>
          <w:rtl w:val="0"/>
        </w:rPr>
        <w:t xml:space="preserve"> в электронной форме или лично либо через портал Госуслуги Республики Татарстан. </w:t>
      </w:r>
    </w:p>
    <w:p w:rsidR="00000000" w:rsidDel="00000000" w:rsidP="00000000" w:rsidRDefault="00000000" w:rsidRPr="00000000" w14:paraId="0000000A">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color w:val="242424"/>
          <w:sz w:val="24"/>
          <w:szCs w:val="24"/>
          <w:rtl w:val="0"/>
        </w:rPr>
        <w:t xml:space="preserve">Срок рассмотрения заявки от 14 до 30 календарных дней.</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Технические требования.</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Информация о рекламных конструкциях, </w:t>
      </w:r>
      <w:r w:rsidDel="00000000" w:rsidR="00000000" w:rsidRPr="00000000">
        <w:rPr>
          <w:sz w:val="24"/>
          <w:szCs w:val="24"/>
          <w:rtl w:val="0"/>
        </w:rPr>
        <w:t xml:space="preserve">допустимы</w:t>
      </w:r>
      <w:r w:rsidDel="00000000" w:rsidR="00000000" w:rsidRPr="00000000">
        <w:rPr>
          <w:sz w:val="24"/>
          <w:szCs w:val="24"/>
          <w:rtl w:val="0"/>
        </w:rPr>
        <w:t xml:space="preserve">х к размещению на территории г.Казани, собрана </w:t>
      </w:r>
      <w:hyperlink r:id="rId6">
        <w:r w:rsidDel="00000000" w:rsidR="00000000" w:rsidRPr="00000000">
          <w:rPr>
            <w:b w:val="1"/>
            <w:color w:val="1155cc"/>
            <w:sz w:val="24"/>
            <w:szCs w:val="24"/>
            <w:u w:val="single"/>
            <w:rtl w:val="0"/>
          </w:rPr>
          <w:t xml:space="preserve">в этом документе</w:t>
        </w:r>
      </w:hyperlink>
      <w:r w:rsidDel="00000000" w:rsidR="00000000" w:rsidRPr="00000000">
        <w:rPr>
          <w:b w:val="1"/>
          <w:sz w:val="24"/>
          <w:szCs w:val="24"/>
          <w:rtl w:val="0"/>
        </w:rPr>
        <w:t xml:space="preserve"> </w:t>
      </w:r>
      <w:r w:rsidDel="00000000" w:rsidR="00000000" w:rsidRPr="00000000">
        <w:rPr>
          <w:sz w:val="24"/>
          <w:szCs w:val="24"/>
          <w:rtl w:val="0"/>
        </w:rPr>
        <w:t xml:space="preserve">(источник информации официальный сайт администрации г. Казань).</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Особые требования.</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sz w:val="24"/>
          <w:szCs w:val="24"/>
          <w:rtl w:val="0"/>
        </w:rPr>
        <w:t xml:space="preserve">1. </w:t>
      </w:r>
      <w:r w:rsidDel="00000000" w:rsidR="00000000" w:rsidRPr="00000000">
        <w:rPr>
          <w:sz w:val="24"/>
          <w:szCs w:val="24"/>
          <w:highlight w:val="white"/>
          <w:rtl w:val="0"/>
        </w:rPr>
        <w:t xml:space="preserve">Рекламные конструкции с электронно-цифровой поверхностью должны быть оборудованы автономными техническими средствами регулировки уровня яркости в зависимости от времени суток и внешних условий окружающей среды</w:t>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2. Рекламные конструкции должны иметь маркировку в виде табличек с указанием наименования, контактного телефона ее владельца, номера разрешения на ее установку и эксплуатацию в соответствии с требованиями, установленными муниципальным правовым актом Исполнительного комитета г. Казани.</w:t>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3. Не допускается размещение щитовых конструкций внутри территории, ограниченной ул. Тихорецкая, ул. Магистральная, ул. Меховщиков, ул. Девятаева, ул. Альфреда Халикова, Кировской дамбой, ул. Несмелова, ул. Краснококшайская, ул. Болотникова, ул. Восстания, ул. Маршала Чуйкова, ул. Адоратского, пр. Ямашева, ул. Академика Арбузова, пр. Победы, ул. Академика Сахарова, ул. Юлиуса Фучика, ул. Академика Завойского, ул. Комиссара Габишева, ул. Дубравная, пр. Победы, ул. Баки Урманче, в том числе на данных улицах, дамбе и проспектах.</w:t>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4. Не допускается размещение рекламных конструкций с электронно-цифровой поверхностью на расстоянии менее 50,0 м до окон жилых домов, объектов, занимаемых образовательными учреждениями, учреждениями здравоохранения, стационарными учреждениями социального обслуживания населения, расположенных в зоне под углом 120 градусов от краев информационного поля рекламной конструкции.</w:t>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5. Не допускается размещение щитовых конструкций на расстоянии менее 100,0 м от границ территорий объектов религиозного назначения.</w:t>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6. Не допускается размещение рекламных конструкций с электронно-цифровой поверхностью внутри территории, ограниченной пл. Вахитова, ул. Г.Тукая, ул. Татарстан, ул. Нариманова, Привокзальной площадью, ул. Саид-Галеева, Кировской дамбой, ул. Несмелова, ул. Краснококшайская, ул. Мулланура Вахитова, ул. Чистопольская, пр. Ямашева, ул. Сибирский Тракт, Советской площадью, ул. Николая Ершова, ул. Вишневского, ул. Нурсултана Назарбаева, в том числе на данных улицах, дамбе, проспекте и площадях.</w:t>
      </w:r>
    </w:p>
    <w:p w:rsidR="00000000" w:rsidDel="00000000" w:rsidP="00000000" w:rsidRDefault="00000000" w:rsidRPr="00000000" w14:paraId="00000018">
      <w:pPr>
        <w:rPr>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66" w:sz="0" w:val="none"/>
          <w:bottom w:color="auto" w:space="0" w:sz="0" w:val="none"/>
          <w:right w:color="auto" w:space="42" w:sz="0" w:val="none"/>
          <w:between w:color="auto" w:space="0" w:sz="0" w:val="none"/>
        </w:pBdr>
        <w:shd w:fill="ffffff" w:val="clear"/>
        <w:rPr>
          <w:sz w:val="20"/>
          <w:szCs w:val="20"/>
          <w:highlight w:val="white"/>
        </w:rPr>
      </w:pPr>
      <w:r w:rsidDel="00000000" w:rsidR="00000000" w:rsidRPr="00000000">
        <w:rPr>
          <w:sz w:val="20"/>
          <w:szCs w:val="20"/>
          <w:highlight w:val="white"/>
          <w:rtl w:val="0"/>
        </w:rPr>
        <w:t xml:space="preserve">Источник информации - </w:t>
      </w:r>
      <w:hyperlink r:id="rId7">
        <w:r w:rsidDel="00000000" w:rsidR="00000000" w:rsidRPr="00000000">
          <w:rPr>
            <w:color w:val="1155cc"/>
            <w:sz w:val="20"/>
            <w:szCs w:val="20"/>
            <w:highlight w:val="white"/>
            <w:u w:val="single"/>
            <w:rtl w:val="0"/>
          </w:rPr>
          <w:t xml:space="preserve">Электронный фонд правовых и нормативно-технических документов.</w:t>
        </w:r>
      </w:hyperlink>
      <w:r w:rsidDel="00000000" w:rsidR="00000000" w:rsidRPr="00000000">
        <w:rPr>
          <w:rtl w:val="0"/>
        </w:rPr>
      </w:r>
    </w:p>
    <w:p w:rsidR="00000000" w:rsidDel="00000000" w:rsidP="00000000" w:rsidRDefault="00000000" w:rsidRPr="00000000" w14:paraId="0000001A">
      <w:pPr>
        <w:pBdr>
          <w:top w:color="auto" w:space="0" w:sz="0" w:val="none"/>
          <w:left w:color="auto" w:space="66" w:sz="0" w:val="none"/>
          <w:bottom w:color="auto" w:space="0" w:sz="0" w:val="none"/>
          <w:right w:color="auto" w:space="42" w:sz="0" w:val="none"/>
          <w:between w:color="auto" w:space="0" w:sz="0" w:val="none"/>
        </w:pBdr>
        <w:shd w:fill="ffffff" w:val="clear"/>
        <w:rPr>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zn.ru/content/upravlenie-naruzhnoy-reklamy/o%20razmechenie%20rekl/%D0%A2%D0%B8%D0%BF%D0%BE%D0%BB%D0%BE%D0%B3%D0%B8%D1%8F_%D0%A0%D0%9A_%D0%B1%D0%B5%D0%B7_%D0%A1%D0%A1_%D0%B8_%D0%A1%D0%91_%D0%B0%D0%BF%D1%80_2021.pdf" TargetMode="External"/><Relationship Id="rId7" Type="http://schemas.openxmlformats.org/officeDocument/2006/relationships/hyperlink" Target="https://docs.cntd.ru/document/570900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